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3D" w:rsidRDefault="0039423D">
      <w:pPr>
        <w:jc w:val="center"/>
        <w:rPr>
          <w:rFonts w:cs="Times New Roman"/>
          <w:b/>
          <w:bCs/>
          <w:sz w:val="36"/>
          <w:szCs w:val="36"/>
        </w:rPr>
      </w:pPr>
      <w:r>
        <w:rPr>
          <w:rFonts w:cs="宋体" w:hint="eastAsia"/>
          <w:b/>
          <w:bCs/>
          <w:sz w:val="36"/>
          <w:szCs w:val="36"/>
        </w:rPr>
        <w:t>膜行业专利奖奖励办法（试行）</w:t>
      </w:r>
    </w:p>
    <w:p w:rsidR="0039423D" w:rsidRDefault="0039423D">
      <w:pPr>
        <w:jc w:val="center"/>
        <w:rPr>
          <w:rFonts w:cs="Times New Roman"/>
          <w:b/>
          <w:bCs/>
          <w:sz w:val="36"/>
          <w:szCs w:val="36"/>
        </w:rPr>
      </w:pPr>
    </w:p>
    <w:p w:rsidR="0039423D" w:rsidRDefault="0039423D">
      <w:pPr>
        <w:numPr>
          <w:ilvl w:val="0"/>
          <w:numId w:val="1"/>
        </w:numPr>
        <w:spacing w:line="440" w:lineRule="exact"/>
        <w:jc w:val="center"/>
        <w:rPr>
          <w:rFonts w:ascii="仿宋" w:eastAsia="仿宋" w:hAnsi="仿宋" w:cs="Times New Roman"/>
          <w:sz w:val="28"/>
          <w:szCs w:val="28"/>
        </w:rPr>
      </w:pPr>
      <w:r>
        <w:rPr>
          <w:rFonts w:ascii="仿宋" w:eastAsia="仿宋" w:hAnsi="仿宋" w:cs="仿宋" w:hint="eastAsia"/>
          <w:sz w:val="28"/>
          <w:szCs w:val="28"/>
        </w:rPr>
        <w:t>总则</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第一条</w:t>
      </w:r>
      <w:r>
        <w:rPr>
          <w:rFonts w:ascii="仿宋" w:eastAsia="仿宋" w:hAnsi="仿宋" w:cs="仿宋"/>
          <w:sz w:val="28"/>
          <w:szCs w:val="28"/>
        </w:rPr>
        <w:t xml:space="preserve"> </w:t>
      </w:r>
      <w:r>
        <w:rPr>
          <w:rFonts w:ascii="仿宋" w:eastAsia="仿宋" w:hAnsi="仿宋" w:cs="仿宋" w:hint="eastAsia"/>
          <w:sz w:val="28"/>
          <w:szCs w:val="28"/>
        </w:rPr>
        <w:t>为贯彻落实国家知识产权战略，引导和推进膜行业知识产权工作对知识产权强国建设发挥重要作用，充分调动本行业创新主体的积极性，鼓励发明创造，提升行业知识产权的创造、运用、保护和管理能力，促进专利创新技术实施和产业化，经中国膜工业协会研究决定，结合行业实际情况特制定本办法。</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第二条</w:t>
      </w:r>
      <w:r>
        <w:rPr>
          <w:rFonts w:ascii="仿宋" w:eastAsia="仿宋" w:hAnsi="仿宋" w:cs="仿宋"/>
          <w:sz w:val="28"/>
          <w:szCs w:val="28"/>
        </w:rPr>
        <w:t xml:space="preserve"> </w:t>
      </w:r>
      <w:r>
        <w:rPr>
          <w:rFonts w:ascii="仿宋" w:eastAsia="仿宋" w:hAnsi="仿宋" w:cs="仿宋" w:hint="eastAsia"/>
          <w:sz w:val="28"/>
          <w:szCs w:val="28"/>
        </w:rPr>
        <w:t>“膜行业专利奖”旨在表彰行业内取得专利并实施，为促进我国膜行业创新发展、转型升级以及社会发展做出突出贡献的专利权人和发明人。</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第三条</w:t>
      </w:r>
      <w:r>
        <w:rPr>
          <w:rFonts w:ascii="仿宋" w:eastAsia="仿宋" w:hAnsi="仿宋" w:cs="仿宋"/>
          <w:sz w:val="28"/>
          <w:szCs w:val="28"/>
        </w:rPr>
        <w:t xml:space="preserve"> </w:t>
      </w:r>
      <w:r>
        <w:rPr>
          <w:rFonts w:ascii="仿宋" w:eastAsia="仿宋" w:hAnsi="仿宋" w:cs="仿宋" w:hint="eastAsia"/>
          <w:sz w:val="28"/>
          <w:szCs w:val="28"/>
        </w:rPr>
        <w:t>为维护“膜行业专利奖”的严肃性和权威性，其奖励的申报、评审和授奖，实行公平、公正、公开的原则，不受任何组织或个人的非法干涉。</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第四条</w:t>
      </w:r>
      <w:r>
        <w:rPr>
          <w:rFonts w:ascii="仿宋" w:eastAsia="仿宋" w:hAnsi="仿宋" w:cs="仿宋"/>
          <w:sz w:val="28"/>
          <w:szCs w:val="28"/>
        </w:rPr>
        <w:t xml:space="preserve"> </w:t>
      </w:r>
      <w:r>
        <w:rPr>
          <w:rFonts w:ascii="仿宋" w:eastAsia="仿宋" w:hAnsi="仿宋" w:cs="仿宋" w:hint="eastAsia"/>
          <w:sz w:val="28"/>
          <w:szCs w:val="28"/>
        </w:rPr>
        <w:t>获得膜行业专利奖的项目，将由协会择优向国家知识产权局推荐申报“中国专利奖”。</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第五条</w:t>
      </w:r>
      <w:r>
        <w:rPr>
          <w:rFonts w:ascii="仿宋" w:eastAsia="仿宋" w:hAnsi="仿宋" w:cs="仿宋"/>
          <w:sz w:val="28"/>
          <w:szCs w:val="28"/>
        </w:rPr>
        <w:t xml:space="preserve"> </w:t>
      </w:r>
      <w:r>
        <w:rPr>
          <w:rFonts w:ascii="仿宋" w:eastAsia="仿宋" w:hAnsi="仿宋" w:cs="仿宋" w:hint="eastAsia"/>
          <w:sz w:val="28"/>
          <w:szCs w:val="28"/>
        </w:rPr>
        <w:t>“膜行业专利奖”申报和评审工作依托协会科技奖励工作办公室，负责科技奖励的日常工作，该奖励办设在协会办公室。</w:t>
      </w:r>
    </w:p>
    <w:p w:rsidR="0039423D" w:rsidRDefault="0039423D">
      <w:pPr>
        <w:spacing w:line="440" w:lineRule="exact"/>
        <w:jc w:val="center"/>
        <w:rPr>
          <w:rFonts w:ascii="仿宋" w:eastAsia="仿宋" w:hAnsi="仿宋" w:cs="Times New Roman"/>
          <w:sz w:val="28"/>
          <w:szCs w:val="28"/>
        </w:rPr>
      </w:pPr>
      <w:r>
        <w:rPr>
          <w:rFonts w:ascii="仿宋" w:eastAsia="仿宋" w:hAnsi="仿宋" w:cs="仿宋" w:hint="eastAsia"/>
          <w:sz w:val="28"/>
          <w:szCs w:val="28"/>
        </w:rPr>
        <w:t>第二章</w:t>
      </w:r>
      <w:r>
        <w:rPr>
          <w:rFonts w:ascii="仿宋" w:eastAsia="仿宋" w:hAnsi="仿宋" w:cs="仿宋"/>
          <w:sz w:val="28"/>
          <w:szCs w:val="28"/>
        </w:rPr>
        <w:t xml:space="preserve"> </w:t>
      </w:r>
      <w:r>
        <w:rPr>
          <w:rFonts w:ascii="仿宋" w:eastAsia="仿宋" w:hAnsi="仿宋" w:cs="仿宋" w:hint="eastAsia"/>
          <w:sz w:val="28"/>
          <w:szCs w:val="28"/>
        </w:rPr>
        <w:t>奖励设置</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第六条</w:t>
      </w:r>
      <w:r>
        <w:rPr>
          <w:rFonts w:ascii="仿宋" w:eastAsia="仿宋" w:hAnsi="仿宋" w:cs="仿宋"/>
          <w:sz w:val="28"/>
          <w:szCs w:val="28"/>
        </w:rPr>
        <w:t xml:space="preserve"> </w:t>
      </w:r>
      <w:r>
        <w:rPr>
          <w:rFonts w:ascii="仿宋" w:eastAsia="仿宋" w:hAnsi="仿宋" w:cs="仿宋" w:hint="eastAsia"/>
          <w:sz w:val="28"/>
          <w:szCs w:val="28"/>
        </w:rPr>
        <w:t>膜行业专利奖设金奖和优秀奖，每年评选一次，其中金奖不超过</w:t>
      </w:r>
      <w:r>
        <w:rPr>
          <w:rFonts w:ascii="仿宋" w:eastAsia="仿宋" w:hAnsi="仿宋" w:cs="仿宋"/>
          <w:sz w:val="28"/>
          <w:szCs w:val="28"/>
        </w:rPr>
        <w:t>4</w:t>
      </w:r>
      <w:r>
        <w:rPr>
          <w:rFonts w:ascii="仿宋" w:eastAsia="仿宋" w:hAnsi="仿宋" w:cs="仿宋" w:hint="eastAsia"/>
          <w:sz w:val="28"/>
          <w:szCs w:val="28"/>
        </w:rPr>
        <w:t>项，优秀奖若干。</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第七条</w:t>
      </w:r>
      <w:r>
        <w:rPr>
          <w:rFonts w:ascii="仿宋" w:eastAsia="仿宋" w:hAnsi="仿宋" w:cs="仿宋"/>
          <w:sz w:val="28"/>
          <w:szCs w:val="28"/>
        </w:rPr>
        <w:t xml:space="preserve"> </w:t>
      </w:r>
      <w:r>
        <w:rPr>
          <w:rFonts w:ascii="仿宋" w:eastAsia="仿宋" w:hAnsi="仿宋" w:cs="仿宋" w:hint="eastAsia"/>
          <w:sz w:val="28"/>
          <w:szCs w:val="28"/>
        </w:rPr>
        <w:t>在行业内实施并已取得良好经济和社会效益的发明专利，具备以下条件的，可以参加膜行业专利奖评选：</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（一）已获得国家知识产权局授权的膜行业的发明专利；</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（二）专利已经过实施并取得突出效果；</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（三）专利权有效，无法律纠纷；</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（四）全体专利权人均同意申报；</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（五）未获得过“中国专利奖”。</w:t>
      </w:r>
    </w:p>
    <w:p w:rsidR="0039423D" w:rsidRDefault="0039423D">
      <w:pPr>
        <w:spacing w:line="440" w:lineRule="exact"/>
        <w:jc w:val="center"/>
        <w:rPr>
          <w:rFonts w:ascii="仿宋" w:eastAsia="仿宋" w:hAnsi="仿宋" w:cs="Times New Roman"/>
          <w:sz w:val="28"/>
          <w:szCs w:val="28"/>
        </w:rPr>
      </w:pPr>
      <w:r>
        <w:rPr>
          <w:rFonts w:ascii="仿宋" w:eastAsia="仿宋" w:hAnsi="仿宋" w:cs="仿宋" w:hint="eastAsia"/>
          <w:sz w:val="28"/>
          <w:szCs w:val="28"/>
        </w:rPr>
        <w:t>第三章</w:t>
      </w:r>
      <w:r>
        <w:rPr>
          <w:rFonts w:ascii="仿宋" w:eastAsia="仿宋" w:hAnsi="仿宋" w:cs="仿宋"/>
          <w:sz w:val="28"/>
          <w:szCs w:val="28"/>
        </w:rPr>
        <w:t xml:space="preserve"> </w:t>
      </w:r>
      <w:r>
        <w:rPr>
          <w:rFonts w:ascii="仿宋" w:eastAsia="仿宋" w:hAnsi="仿宋" w:cs="仿宋" w:hint="eastAsia"/>
          <w:sz w:val="28"/>
          <w:szCs w:val="28"/>
        </w:rPr>
        <w:t>申报与推荐</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第八条</w:t>
      </w:r>
      <w:r>
        <w:rPr>
          <w:rFonts w:ascii="仿宋" w:eastAsia="仿宋" w:hAnsi="仿宋" w:cs="仿宋"/>
          <w:sz w:val="28"/>
          <w:szCs w:val="28"/>
        </w:rPr>
        <w:t xml:space="preserve"> </w:t>
      </w:r>
      <w:r>
        <w:rPr>
          <w:rFonts w:ascii="仿宋" w:eastAsia="仿宋" w:hAnsi="仿宋" w:cs="仿宋" w:hint="eastAsia"/>
          <w:sz w:val="28"/>
          <w:szCs w:val="28"/>
        </w:rPr>
        <w:t>“膜行业专利奖”每年申报、评审一次，申报书填写说明及每年申报通知，将在中国膜工业协会官网上公布。</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第九条</w:t>
      </w:r>
      <w:r>
        <w:rPr>
          <w:rFonts w:ascii="仿宋" w:eastAsia="仿宋" w:hAnsi="仿宋" w:cs="仿宋"/>
          <w:sz w:val="28"/>
          <w:szCs w:val="28"/>
        </w:rPr>
        <w:t xml:space="preserve"> </w:t>
      </w:r>
      <w:r>
        <w:rPr>
          <w:rFonts w:ascii="仿宋" w:eastAsia="仿宋" w:hAnsi="仿宋" w:cs="仿宋" w:hint="eastAsia"/>
          <w:sz w:val="28"/>
          <w:szCs w:val="28"/>
        </w:rPr>
        <w:t>申报与推荐渠道：</w:t>
      </w:r>
    </w:p>
    <w:p w:rsidR="0039423D" w:rsidRDefault="0039423D">
      <w:pPr>
        <w:numPr>
          <w:ilvl w:val="0"/>
          <w:numId w:val="2"/>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有关政府部门；</w:t>
      </w:r>
    </w:p>
    <w:p w:rsidR="0039423D" w:rsidRDefault="0039423D">
      <w:pPr>
        <w:numPr>
          <w:ilvl w:val="0"/>
          <w:numId w:val="2"/>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协会所属会员单位；</w:t>
      </w:r>
    </w:p>
    <w:p w:rsidR="0039423D" w:rsidRDefault="0039423D">
      <w:pPr>
        <w:numPr>
          <w:ilvl w:val="0"/>
          <w:numId w:val="2"/>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膜行业国有大中型企业、中小科技型企业、民营和股份制（不包括外资）企业；</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（四）膜领域的科研院所和高等院校；</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（五）地方各专业协会、学会；</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（六）同行业院士或知名人士推荐。</w:t>
      </w:r>
    </w:p>
    <w:p w:rsidR="0039423D" w:rsidRDefault="0039423D">
      <w:pPr>
        <w:numPr>
          <w:ilvl w:val="0"/>
          <w:numId w:val="3"/>
        </w:numPr>
        <w:spacing w:line="440" w:lineRule="exact"/>
        <w:rPr>
          <w:rFonts w:ascii="仿宋" w:eastAsia="仿宋" w:hAnsi="仿宋" w:cs="Times New Roman"/>
          <w:sz w:val="28"/>
          <w:szCs w:val="28"/>
        </w:rPr>
      </w:pPr>
      <w:r>
        <w:rPr>
          <w:rFonts w:ascii="仿宋" w:eastAsia="仿宋" w:hAnsi="仿宋" w:cs="仿宋" w:hint="eastAsia"/>
          <w:sz w:val="28"/>
          <w:szCs w:val="28"/>
        </w:rPr>
        <w:t>申报与推荐要求</w:t>
      </w:r>
    </w:p>
    <w:p w:rsidR="0039423D" w:rsidRDefault="0039423D">
      <w:pPr>
        <w:numPr>
          <w:ilvl w:val="0"/>
          <w:numId w:val="4"/>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申报人应按照要求填写由评审办公室统一制作的《膜行业专利奖申报书》，并按当年规定的时间申报；</w:t>
      </w:r>
    </w:p>
    <w:p w:rsidR="0039423D" w:rsidRDefault="0039423D">
      <w:pPr>
        <w:numPr>
          <w:ilvl w:val="0"/>
          <w:numId w:val="4"/>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专利权人为两个或两个以上的，申报专利奖时所有专利权人要出具书面同意报告并盖章，并协商指定其中一个专利权人进行申报；</w:t>
      </w:r>
    </w:p>
    <w:p w:rsidR="0039423D" w:rsidRDefault="0039423D">
      <w:pPr>
        <w:numPr>
          <w:ilvl w:val="0"/>
          <w:numId w:val="4"/>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符合本办法第二章第七条的申报条件；</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第十一条</w:t>
      </w:r>
      <w:r>
        <w:rPr>
          <w:rFonts w:ascii="仿宋" w:eastAsia="仿宋" w:hAnsi="仿宋" w:cs="仿宋"/>
          <w:sz w:val="28"/>
          <w:szCs w:val="28"/>
        </w:rPr>
        <w:t xml:space="preserve"> </w:t>
      </w:r>
      <w:r>
        <w:rPr>
          <w:rFonts w:ascii="仿宋" w:eastAsia="仿宋" w:hAnsi="仿宋" w:cs="仿宋" w:hint="eastAsia"/>
          <w:sz w:val="28"/>
          <w:szCs w:val="28"/>
        </w:rPr>
        <w:t>有下列情形之一的，不得申报：</w:t>
      </w:r>
    </w:p>
    <w:p w:rsidR="0039423D" w:rsidRDefault="0039423D">
      <w:pPr>
        <w:numPr>
          <w:ilvl w:val="0"/>
          <w:numId w:val="5"/>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存在专利权属纠纷、发明人纠纷；</w:t>
      </w:r>
    </w:p>
    <w:p w:rsidR="0039423D" w:rsidRDefault="0039423D">
      <w:pPr>
        <w:numPr>
          <w:ilvl w:val="0"/>
          <w:numId w:val="5"/>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在宣告专利权无效请求程序中；</w:t>
      </w:r>
    </w:p>
    <w:p w:rsidR="0039423D" w:rsidRDefault="0039423D">
      <w:pPr>
        <w:numPr>
          <w:ilvl w:val="0"/>
          <w:numId w:val="5"/>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申报往届“膜行业专利奖”未获奖且在实施中无新的实质性进展的；</w:t>
      </w:r>
    </w:p>
    <w:p w:rsidR="0039423D" w:rsidRDefault="0039423D">
      <w:pPr>
        <w:numPr>
          <w:ilvl w:val="0"/>
          <w:numId w:val="5"/>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涉及国防、国家安全的。</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注：“专利权属纠纷”指一项发明创造被授予专利权后，当事人之间就谁应当是发明创造的真正权利人而发生的纠纷。“发明人纠纷”指发明人资格纠纷尚未解决的，或是职务发明的发明人的奖励和报酬纠纷尚未解决的。宣告专利权无效请求程序，指任何单位或者个人认为某一专利权的授予不符合专利法有关规定的，而请求专利复审委员会宣告该专利权无效或者部分无效的程序。</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第十二条</w:t>
      </w:r>
      <w:r>
        <w:rPr>
          <w:rFonts w:ascii="仿宋" w:eastAsia="仿宋" w:hAnsi="仿宋" w:cs="仿宋"/>
          <w:sz w:val="28"/>
          <w:szCs w:val="28"/>
        </w:rPr>
        <w:t xml:space="preserve"> </w:t>
      </w:r>
      <w:r>
        <w:rPr>
          <w:rFonts w:ascii="仿宋" w:eastAsia="仿宋" w:hAnsi="仿宋" w:cs="仿宋" w:hint="eastAsia"/>
          <w:sz w:val="28"/>
          <w:szCs w:val="28"/>
        </w:rPr>
        <w:t>申报与推荐的证明文件一般应包括：</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（一）核心发明专利证书复印件、说明书、权利要求书、摘要、附图和授权公告文本等；</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（二）申报项目取得的经济和社会效益证明材料；</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（三）环境生态证明、进出口证明、文章收录或引用证明等；</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（五）其他有助于评价的证明。</w:t>
      </w:r>
    </w:p>
    <w:p w:rsidR="0039423D" w:rsidRDefault="0039423D">
      <w:pPr>
        <w:spacing w:line="440" w:lineRule="exact"/>
        <w:jc w:val="center"/>
        <w:rPr>
          <w:rFonts w:ascii="仿宋" w:eastAsia="仿宋" w:hAnsi="仿宋" w:cs="Times New Roman"/>
          <w:sz w:val="28"/>
          <w:szCs w:val="28"/>
        </w:rPr>
      </w:pPr>
      <w:r>
        <w:rPr>
          <w:rFonts w:ascii="仿宋" w:eastAsia="仿宋" w:hAnsi="仿宋" w:cs="仿宋" w:hint="eastAsia"/>
          <w:sz w:val="28"/>
          <w:szCs w:val="28"/>
        </w:rPr>
        <w:t>第四章</w:t>
      </w:r>
      <w:r>
        <w:rPr>
          <w:rFonts w:ascii="仿宋" w:eastAsia="仿宋" w:hAnsi="仿宋" w:cs="仿宋"/>
          <w:sz w:val="28"/>
          <w:szCs w:val="28"/>
        </w:rPr>
        <w:t xml:space="preserve"> </w:t>
      </w:r>
      <w:r>
        <w:rPr>
          <w:rFonts w:ascii="仿宋" w:eastAsia="仿宋" w:hAnsi="仿宋" w:cs="仿宋" w:hint="eastAsia"/>
          <w:sz w:val="28"/>
          <w:szCs w:val="28"/>
        </w:rPr>
        <w:t>评审与授奖</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第十三条</w:t>
      </w:r>
      <w:r>
        <w:rPr>
          <w:rFonts w:ascii="仿宋" w:eastAsia="仿宋" w:hAnsi="仿宋" w:cs="仿宋"/>
          <w:sz w:val="28"/>
          <w:szCs w:val="28"/>
        </w:rPr>
        <w:t xml:space="preserve"> </w:t>
      </w:r>
      <w:r>
        <w:rPr>
          <w:rFonts w:ascii="仿宋" w:eastAsia="仿宋" w:hAnsi="仿宋" w:cs="仿宋" w:hint="eastAsia"/>
          <w:sz w:val="28"/>
          <w:szCs w:val="28"/>
        </w:rPr>
        <w:t>每年应设立评审组，评审组设组长</w:t>
      </w:r>
      <w:r>
        <w:rPr>
          <w:rFonts w:ascii="仿宋" w:eastAsia="仿宋" w:hAnsi="仿宋" w:cs="仿宋"/>
          <w:sz w:val="28"/>
          <w:szCs w:val="28"/>
        </w:rPr>
        <w:t>1</w:t>
      </w:r>
      <w:r>
        <w:rPr>
          <w:rFonts w:ascii="仿宋" w:eastAsia="仿宋" w:hAnsi="仿宋" w:cs="仿宋" w:hint="eastAsia"/>
          <w:sz w:val="28"/>
          <w:szCs w:val="28"/>
        </w:rPr>
        <w:t>人、副组长</w:t>
      </w:r>
      <w:r>
        <w:rPr>
          <w:rFonts w:ascii="仿宋" w:eastAsia="仿宋" w:hAnsi="仿宋" w:cs="仿宋"/>
          <w:sz w:val="28"/>
          <w:szCs w:val="28"/>
        </w:rPr>
        <w:t>1</w:t>
      </w:r>
      <w:r>
        <w:rPr>
          <w:rFonts w:ascii="仿宋" w:eastAsia="仿宋" w:hAnsi="仿宋" w:cs="仿宋" w:hint="eastAsia"/>
          <w:sz w:val="28"/>
          <w:szCs w:val="28"/>
        </w:rPr>
        <w:t>至</w:t>
      </w:r>
      <w:r>
        <w:rPr>
          <w:rFonts w:ascii="仿宋" w:eastAsia="仿宋" w:hAnsi="仿宋" w:cs="仿宋"/>
          <w:sz w:val="28"/>
          <w:szCs w:val="28"/>
        </w:rPr>
        <w:t>3</w:t>
      </w:r>
      <w:r>
        <w:rPr>
          <w:rFonts w:ascii="仿宋" w:eastAsia="仿宋" w:hAnsi="仿宋" w:cs="仿宋" w:hint="eastAsia"/>
          <w:sz w:val="28"/>
          <w:szCs w:val="28"/>
        </w:rPr>
        <w:t>人、组员若干人，组长一般由行业知名人士或院士担任。评审组专家组成包括：行业知名专家、院士、国家知识产权局有关负责人、长期从事专利工作的专利代理人或科技管理负责人。</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第十四条</w:t>
      </w:r>
      <w:r>
        <w:rPr>
          <w:rFonts w:ascii="仿宋" w:eastAsia="仿宋" w:hAnsi="仿宋" w:cs="仿宋"/>
          <w:sz w:val="28"/>
          <w:szCs w:val="28"/>
        </w:rPr>
        <w:t xml:space="preserve"> </w:t>
      </w:r>
      <w:r>
        <w:rPr>
          <w:rFonts w:ascii="仿宋" w:eastAsia="仿宋" w:hAnsi="仿宋" w:cs="仿宋" w:hint="eastAsia"/>
          <w:sz w:val="28"/>
          <w:szCs w:val="28"/>
        </w:rPr>
        <w:t>评审组采取无记名投票的表决方式确定授奖项目，其授奖项目应由到会评委的二分之一以上多数通过。评审表决规则如下：</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（一）初评以网络评审或者会议评审方式进行，以无记名限额投票表决产生初评结果；</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（二）复审以会议评审方式进行评审，以无记名限额投票表决产生评审结果；</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（三）复审评为金奖的项目，将以答辩方式确认最终获奖结果。</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（四）协会对评审结果进行审定并颁布授奖。</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第十五条</w:t>
      </w:r>
      <w:r>
        <w:rPr>
          <w:rFonts w:ascii="仿宋" w:eastAsia="仿宋" w:hAnsi="仿宋" w:cs="仿宋"/>
          <w:sz w:val="28"/>
          <w:szCs w:val="28"/>
        </w:rPr>
        <w:t xml:space="preserve"> </w:t>
      </w:r>
      <w:r>
        <w:rPr>
          <w:rFonts w:ascii="仿宋" w:eastAsia="仿宋" w:hAnsi="仿宋" w:cs="仿宋" w:hint="eastAsia"/>
          <w:sz w:val="28"/>
          <w:szCs w:val="28"/>
        </w:rPr>
        <w:t>评审实行回避制度，当年有申报或与申报单位有关的评委，不得参加本年度的评审。</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第十六条</w:t>
      </w:r>
      <w:r>
        <w:rPr>
          <w:rFonts w:ascii="仿宋" w:eastAsia="仿宋" w:hAnsi="仿宋" w:cs="仿宋"/>
          <w:sz w:val="28"/>
          <w:szCs w:val="28"/>
        </w:rPr>
        <w:t xml:space="preserve"> </w:t>
      </w:r>
      <w:r>
        <w:rPr>
          <w:rFonts w:ascii="仿宋" w:eastAsia="仿宋" w:hAnsi="仿宋" w:cs="仿宋" w:hint="eastAsia"/>
          <w:sz w:val="28"/>
          <w:szCs w:val="28"/>
        </w:rPr>
        <w:t>评价指标及权重</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（一）专利质量（</w:t>
      </w:r>
      <w:r>
        <w:rPr>
          <w:rFonts w:ascii="仿宋" w:eastAsia="仿宋" w:hAnsi="仿宋" w:cs="仿宋"/>
          <w:sz w:val="28"/>
          <w:szCs w:val="28"/>
        </w:rPr>
        <w:t>25%</w:t>
      </w:r>
      <w:r>
        <w:rPr>
          <w:rFonts w:ascii="仿宋" w:eastAsia="仿宋" w:hAnsi="仿宋" w:cs="仿宋" w:hint="eastAsia"/>
          <w:sz w:val="28"/>
          <w:szCs w:val="28"/>
        </w:rPr>
        <w:t>）：评价：</w:t>
      </w:r>
      <w:r>
        <w:rPr>
          <w:rFonts w:ascii="仿宋" w:eastAsia="仿宋" w:hAnsi="仿宋" w:cs="仿宋"/>
          <w:sz w:val="28"/>
          <w:szCs w:val="28"/>
        </w:rPr>
        <w:t>1</w:t>
      </w:r>
      <w:r>
        <w:rPr>
          <w:rFonts w:ascii="仿宋" w:eastAsia="仿宋" w:hAnsi="仿宋" w:cs="仿宋" w:hint="eastAsia"/>
          <w:sz w:val="28"/>
          <w:szCs w:val="28"/>
        </w:rPr>
        <w:t>、新颖性、创造性、实用性；</w:t>
      </w:r>
      <w:r>
        <w:rPr>
          <w:rFonts w:ascii="仿宋" w:eastAsia="仿宋" w:hAnsi="仿宋" w:cs="仿宋"/>
          <w:sz w:val="28"/>
          <w:szCs w:val="28"/>
        </w:rPr>
        <w:t>2</w:t>
      </w:r>
      <w:r>
        <w:rPr>
          <w:rFonts w:ascii="仿宋" w:eastAsia="仿宋" w:hAnsi="仿宋" w:cs="仿宋" w:hint="eastAsia"/>
          <w:sz w:val="28"/>
          <w:szCs w:val="28"/>
        </w:rPr>
        <w:t>、文本质量。</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（二）技术先进性评价（</w:t>
      </w:r>
      <w:r>
        <w:rPr>
          <w:rFonts w:ascii="仿宋" w:eastAsia="仿宋" w:hAnsi="仿宋" w:cs="仿宋"/>
          <w:sz w:val="28"/>
          <w:szCs w:val="28"/>
        </w:rPr>
        <w:t>25%</w:t>
      </w: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、原创性及重要性；</w:t>
      </w:r>
      <w:r>
        <w:rPr>
          <w:rFonts w:ascii="仿宋" w:eastAsia="仿宋" w:hAnsi="仿宋" w:cs="仿宋"/>
          <w:sz w:val="28"/>
          <w:szCs w:val="28"/>
        </w:rPr>
        <w:t>2</w:t>
      </w:r>
      <w:r>
        <w:rPr>
          <w:rFonts w:ascii="仿宋" w:eastAsia="仿宋" w:hAnsi="仿宋" w:cs="仿宋" w:hint="eastAsia"/>
          <w:sz w:val="28"/>
          <w:szCs w:val="28"/>
        </w:rPr>
        <w:t>、相比当前同类技术的优缺点；</w:t>
      </w:r>
      <w:r>
        <w:rPr>
          <w:rFonts w:ascii="仿宋" w:eastAsia="仿宋" w:hAnsi="仿宋" w:cs="仿宋"/>
          <w:sz w:val="28"/>
          <w:szCs w:val="28"/>
        </w:rPr>
        <w:t>3</w:t>
      </w:r>
      <w:r>
        <w:rPr>
          <w:rFonts w:ascii="仿宋" w:eastAsia="仿宋" w:hAnsi="仿宋" w:cs="仿宋" w:hint="eastAsia"/>
          <w:sz w:val="28"/>
          <w:szCs w:val="28"/>
        </w:rPr>
        <w:t xml:space="preserve">、专利技术的通用性。　　</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（三）运用及保护措施和成效（</w:t>
      </w:r>
      <w:r>
        <w:rPr>
          <w:rFonts w:ascii="仿宋" w:eastAsia="仿宋" w:hAnsi="仿宋" w:cs="仿宋"/>
          <w:sz w:val="28"/>
          <w:szCs w:val="28"/>
        </w:rPr>
        <w:t>35%</w:t>
      </w:r>
      <w:r>
        <w:rPr>
          <w:rFonts w:ascii="仿宋" w:eastAsia="仿宋" w:hAnsi="仿宋" w:cs="仿宋" w:hint="eastAsia"/>
          <w:sz w:val="28"/>
          <w:szCs w:val="28"/>
        </w:rPr>
        <w:t>）</w:t>
      </w:r>
      <w:r>
        <w:rPr>
          <w:rFonts w:ascii="仿宋" w:eastAsia="仿宋" w:hAnsi="仿宋" w:cs="仿宋"/>
          <w:sz w:val="28"/>
          <w:szCs w:val="28"/>
        </w:rPr>
        <w:t xml:space="preserve"> </w:t>
      </w:r>
      <w:r>
        <w:rPr>
          <w:rFonts w:ascii="仿宋" w:eastAsia="仿宋" w:hAnsi="仿宋" w:cs="仿宋" w:hint="eastAsia"/>
          <w:sz w:val="28"/>
          <w:szCs w:val="28"/>
        </w:rPr>
        <w:t>。评价：</w:t>
      </w:r>
      <w:r>
        <w:rPr>
          <w:rFonts w:ascii="仿宋" w:eastAsia="仿宋" w:hAnsi="仿宋" w:cs="仿宋"/>
          <w:sz w:val="28"/>
          <w:szCs w:val="28"/>
        </w:rPr>
        <w:t>1</w:t>
      </w:r>
      <w:r>
        <w:rPr>
          <w:rFonts w:ascii="仿宋" w:eastAsia="仿宋" w:hAnsi="仿宋" w:cs="仿宋" w:hint="eastAsia"/>
          <w:sz w:val="28"/>
          <w:szCs w:val="28"/>
        </w:rPr>
        <w:t>、专利运用、经济效益及市场份额；</w:t>
      </w:r>
      <w:r>
        <w:rPr>
          <w:rFonts w:ascii="仿宋" w:eastAsia="仿宋" w:hAnsi="仿宋" w:cs="仿宋"/>
          <w:sz w:val="28"/>
          <w:szCs w:val="28"/>
        </w:rPr>
        <w:t>2</w:t>
      </w:r>
      <w:r>
        <w:rPr>
          <w:rFonts w:ascii="仿宋" w:eastAsia="仿宋" w:hAnsi="仿宋" w:cs="仿宋" w:hint="eastAsia"/>
          <w:sz w:val="28"/>
          <w:szCs w:val="28"/>
        </w:rPr>
        <w:t xml:space="preserve">、专利保护措施。　</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（四）社会效益及发展前景（</w:t>
      </w:r>
      <w:r>
        <w:rPr>
          <w:rFonts w:ascii="仿宋" w:eastAsia="仿宋" w:hAnsi="仿宋" w:cs="仿宋"/>
          <w:sz w:val="28"/>
          <w:szCs w:val="28"/>
        </w:rPr>
        <w:t>15%</w:t>
      </w:r>
      <w:r>
        <w:rPr>
          <w:rFonts w:ascii="仿宋" w:eastAsia="仿宋" w:hAnsi="仿宋" w:cs="仿宋" w:hint="eastAsia"/>
          <w:sz w:val="28"/>
          <w:szCs w:val="28"/>
        </w:rPr>
        <w:t>）。评价：</w:t>
      </w:r>
      <w:r>
        <w:rPr>
          <w:rFonts w:ascii="仿宋" w:eastAsia="仿宋" w:hAnsi="仿宋" w:cs="仿宋"/>
          <w:sz w:val="28"/>
          <w:szCs w:val="28"/>
        </w:rPr>
        <w:t>1</w:t>
      </w:r>
      <w:r>
        <w:rPr>
          <w:rFonts w:ascii="仿宋" w:eastAsia="仿宋" w:hAnsi="仿宋" w:cs="仿宋" w:hint="eastAsia"/>
          <w:sz w:val="28"/>
          <w:szCs w:val="28"/>
        </w:rPr>
        <w:t>、社会效益；</w:t>
      </w:r>
      <w:r>
        <w:rPr>
          <w:rFonts w:ascii="仿宋" w:eastAsia="仿宋" w:hAnsi="仿宋" w:cs="仿宋"/>
          <w:sz w:val="28"/>
          <w:szCs w:val="28"/>
        </w:rPr>
        <w:t>2</w:t>
      </w:r>
      <w:r>
        <w:rPr>
          <w:rFonts w:ascii="仿宋" w:eastAsia="仿宋" w:hAnsi="仿宋" w:cs="仿宋" w:hint="eastAsia"/>
          <w:sz w:val="28"/>
          <w:szCs w:val="28"/>
        </w:rPr>
        <w:t>、行业影响力；</w:t>
      </w:r>
      <w:r>
        <w:rPr>
          <w:rFonts w:ascii="仿宋" w:eastAsia="仿宋" w:hAnsi="仿宋" w:cs="仿宋"/>
          <w:sz w:val="28"/>
          <w:szCs w:val="28"/>
        </w:rPr>
        <w:t>3</w:t>
      </w:r>
      <w:r>
        <w:rPr>
          <w:rFonts w:ascii="仿宋" w:eastAsia="仿宋" w:hAnsi="仿宋" w:cs="仿宋" w:hint="eastAsia"/>
          <w:sz w:val="28"/>
          <w:szCs w:val="28"/>
        </w:rPr>
        <w:t>、政策适应性。</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第十七条</w:t>
      </w:r>
      <w:r>
        <w:rPr>
          <w:rFonts w:ascii="仿宋" w:eastAsia="仿宋" w:hAnsi="仿宋" w:cs="仿宋"/>
          <w:sz w:val="28"/>
          <w:szCs w:val="28"/>
        </w:rPr>
        <w:t xml:space="preserve"> </w:t>
      </w:r>
      <w:r>
        <w:rPr>
          <w:rFonts w:ascii="仿宋" w:eastAsia="仿宋" w:hAnsi="仿宋" w:cs="仿宋" w:hint="eastAsia"/>
          <w:sz w:val="28"/>
          <w:szCs w:val="28"/>
        </w:rPr>
        <w:t>符合下列条件的发明专利项目，可以评为金奖：</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（一）在国家技术创新领域取得重大突破；</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（二）在专利技术实施推广中取得巨大经济效益和社会效益。</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第十八条</w:t>
      </w:r>
      <w:r>
        <w:rPr>
          <w:rFonts w:ascii="仿宋" w:eastAsia="仿宋" w:hAnsi="仿宋" w:cs="仿宋"/>
          <w:sz w:val="28"/>
          <w:szCs w:val="28"/>
        </w:rPr>
        <w:t xml:space="preserve"> </w:t>
      </w:r>
      <w:r>
        <w:rPr>
          <w:rFonts w:ascii="仿宋" w:eastAsia="仿宋" w:hAnsi="仿宋" w:cs="仿宋" w:hint="eastAsia"/>
          <w:sz w:val="28"/>
          <w:szCs w:val="28"/>
        </w:rPr>
        <w:t>符合下列条件的发明专利项目，可以评为优秀奖：</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（一）对参与国内外市场竞争发挥了重要作用，在促进本领域的技术进步与创新有突出贡献。</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（二）取得显著经济效益和社会效益。</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第十九条</w:t>
      </w:r>
      <w:r>
        <w:rPr>
          <w:rFonts w:ascii="仿宋" w:eastAsia="仿宋" w:hAnsi="仿宋" w:cs="仿宋"/>
          <w:sz w:val="28"/>
          <w:szCs w:val="28"/>
        </w:rPr>
        <w:t xml:space="preserve"> </w:t>
      </w:r>
      <w:r>
        <w:rPr>
          <w:rFonts w:ascii="仿宋" w:eastAsia="仿宋" w:hAnsi="仿宋" w:cs="仿宋" w:hint="eastAsia"/>
          <w:sz w:val="28"/>
          <w:szCs w:val="28"/>
        </w:rPr>
        <w:t>授奖项目将在行业媒体刊登消息，并在相关网站公示评审结果（包括：简介、专利权人等）以征求意见。</w:t>
      </w:r>
    </w:p>
    <w:p w:rsidR="0039423D" w:rsidRDefault="0039423D">
      <w:pPr>
        <w:spacing w:line="440" w:lineRule="exact"/>
        <w:rPr>
          <w:rFonts w:ascii="仿宋" w:eastAsia="仿宋" w:hAnsi="仿宋" w:cs="仿宋"/>
          <w:sz w:val="28"/>
          <w:szCs w:val="28"/>
        </w:rPr>
      </w:pPr>
      <w:r>
        <w:rPr>
          <w:rFonts w:ascii="仿宋" w:eastAsia="仿宋" w:hAnsi="仿宋" w:cs="仿宋" w:hint="eastAsia"/>
          <w:sz w:val="28"/>
          <w:szCs w:val="28"/>
        </w:rPr>
        <w:t>第二十条</w:t>
      </w:r>
      <w:r>
        <w:rPr>
          <w:rFonts w:ascii="仿宋" w:eastAsia="仿宋" w:hAnsi="仿宋" w:cs="仿宋"/>
          <w:sz w:val="28"/>
          <w:szCs w:val="28"/>
        </w:rPr>
        <w:t xml:space="preserve"> </w:t>
      </w:r>
      <w:r>
        <w:rPr>
          <w:rFonts w:ascii="仿宋" w:eastAsia="仿宋" w:hAnsi="仿宋" w:cs="仿宋" w:hint="eastAsia"/>
          <w:sz w:val="28"/>
          <w:szCs w:val="28"/>
        </w:rPr>
        <w:t>异议及处理</w:t>
      </w:r>
      <w:r>
        <w:rPr>
          <w:rFonts w:ascii="仿宋" w:eastAsia="仿宋" w:hAnsi="仿宋" w:cs="仿宋"/>
          <w:sz w:val="28"/>
          <w:szCs w:val="28"/>
        </w:rPr>
        <w:t xml:space="preserve"> </w:t>
      </w:r>
    </w:p>
    <w:p w:rsidR="0039423D" w:rsidRDefault="0039423D">
      <w:pPr>
        <w:numPr>
          <w:ilvl w:val="0"/>
          <w:numId w:val="6"/>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膜行业专利奖接受社会监督，任何单位和个人对获奖人或组织持有异议的，均可在结果公布之日起日内提出，逾期不予受理，</w:t>
      </w:r>
    </w:p>
    <w:p w:rsidR="0039423D" w:rsidRDefault="0039423D">
      <w:pPr>
        <w:numPr>
          <w:ilvl w:val="0"/>
          <w:numId w:val="6"/>
        </w:num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提出异议的单位或个人应当提供书面异议材料，并提供必要的证明文件。个人提出异议的，应在异议材料上签署单位和真实姓名；以单位名义提出异议的，应加盖本单位公章。</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（三）在申报之后、评审结果公布之前，若出现专利权属纠纷、被请求宣告专利权无效的情形，确实影响该专利法律状态的，该专利项目不得继续参与评奖；</w:t>
      </w:r>
    </w:p>
    <w:p w:rsidR="0039423D" w:rsidRDefault="0039423D">
      <w:pPr>
        <w:spacing w:line="440" w:lineRule="exact"/>
        <w:ind w:firstLineChars="200" w:firstLine="560"/>
        <w:rPr>
          <w:rFonts w:ascii="仿宋" w:eastAsia="仿宋" w:hAnsi="仿宋" w:cs="Times New Roman"/>
          <w:sz w:val="28"/>
          <w:szCs w:val="28"/>
        </w:rPr>
      </w:pPr>
      <w:r>
        <w:rPr>
          <w:rFonts w:ascii="仿宋" w:eastAsia="仿宋" w:hAnsi="仿宋" w:cs="仿宋" w:hint="eastAsia"/>
          <w:sz w:val="28"/>
          <w:szCs w:val="28"/>
        </w:rPr>
        <w:t>（四）对获奖项目提供的技术内容或申报书填写不实等提出异议，属实质性异议，其异议由协会协调，有关单位和个人应当积极配合，不得推诿和延误。必要时，可组织评委或专家进行调查处理，报协会或相关部门裁决。</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第二十一条</w:t>
      </w:r>
      <w:r>
        <w:rPr>
          <w:rFonts w:ascii="仿宋" w:eastAsia="仿宋" w:hAnsi="仿宋" w:cs="仿宋"/>
          <w:sz w:val="28"/>
          <w:szCs w:val="28"/>
        </w:rPr>
        <w:t xml:space="preserve"> </w:t>
      </w:r>
      <w:r>
        <w:rPr>
          <w:rFonts w:ascii="仿宋" w:eastAsia="仿宋" w:hAnsi="仿宋" w:cs="仿宋" w:hint="eastAsia"/>
          <w:sz w:val="28"/>
          <w:szCs w:val="28"/>
        </w:rPr>
        <w:t>膜行业专利奖由中国膜工业协会颁发证书。</w:t>
      </w:r>
    </w:p>
    <w:p w:rsidR="0039423D" w:rsidRDefault="0039423D">
      <w:pPr>
        <w:spacing w:line="440" w:lineRule="exact"/>
        <w:jc w:val="center"/>
        <w:rPr>
          <w:rFonts w:ascii="仿宋" w:eastAsia="仿宋" w:hAnsi="仿宋" w:cs="Times New Roman"/>
          <w:sz w:val="28"/>
          <w:szCs w:val="28"/>
        </w:rPr>
      </w:pPr>
      <w:r>
        <w:rPr>
          <w:rFonts w:ascii="仿宋" w:eastAsia="仿宋" w:hAnsi="仿宋" w:cs="仿宋" w:hint="eastAsia"/>
          <w:sz w:val="28"/>
          <w:szCs w:val="28"/>
        </w:rPr>
        <w:t>第五章</w:t>
      </w:r>
      <w:r>
        <w:rPr>
          <w:rFonts w:ascii="仿宋" w:eastAsia="仿宋" w:hAnsi="仿宋" w:cs="仿宋"/>
          <w:sz w:val="28"/>
          <w:szCs w:val="28"/>
        </w:rPr>
        <w:t xml:space="preserve"> </w:t>
      </w:r>
      <w:r>
        <w:rPr>
          <w:rFonts w:ascii="仿宋" w:eastAsia="仿宋" w:hAnsi="仿宋" w:cs="仿宋" w:hint="eastAsia"/>
          <w:sz w:val="28"/>
          <w:szCs w:val="28"/>
        </w:rPr>
        <w:t>附则</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第二十二条对违反评审工作纪律和相关程序的行为，任何组织或个人均可依据事实以书面形式举报。</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第二十三条</w:t>
      </w:r>
      <w:r>
        <w:rPr>
          <w:rFonts w:ascii="仿宋" w:eastAsia="仿宋" w:hAnsi="仿宋" w:cs="仿宋"/>
          <w:sz w:val="28"/>
          <w:szCs w:val="28"/>
        </w:rPr>
        <w:t xml:space="preserve"> </w:t>
      </w:r>
      <w:r>
        <w:rPr>
          <w:rFonts w:ascii="仿宋" w:eastAsia="仿宋" w:hAnsi="仿宋" w:cs="仿宋" w:hint="eastAsia"/>
          <w:sz w:val="28"/>
          <w:szCs w:val="28"/>
        </w:rPr>
        <w:t>申请人提供虚假数据、材料，骗取专利奖的，中国膜工业协会有权根据具体情节，作出通报批评、撤消奖励的决定。</w:t>
      </w:r>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第二十四条</w:t>
      </w:r>
      <w:r>
        <w:rPr>
          <w:rFonts w:ascii="仿宋" w:eastAsia="仿宋" w:hAnsi="仿宋" w:cs="仿宋"/>
          <w:sz w:val="28"/>
          <w:szCs w:val="28"/>
        </w:rPr>
        <w:t xml:space="preserve"> </w:t>
      </w:r>
      <w:r>
        <w:rPr>
          <w:rFonts w:ascii="仿宋" w:eastAsia="仿宋" w:hAnsi="仿宋" w:cs="仿宋" w:hint="eastAsia"/>
          <w:sz w:val="28"/>
          <w:szCs w:val="28"/>
        </w:rPr>
        <w:t>“膜行业专利奖”的评审工作人员在评审活动中弄虚作假、徇私舞弊的，依法追究其责任。</w:t>
      </w:r>
      <w:bookmarkStart w:id="0" w:name="_GoBack"/>
      <w:bookmarkEnd w:id="0"/>
    </w:p>
    <w:p w:rsidR="0039423D" w:rsidRDefault="0039423D">
      <w:pPr>
        <w:spacing w:line="440" w:lineRule="exact"/>
        <w:rPr>
          <w:rFonts w:ascii="仿宋" w:eastAsia="仿宋" w:hAnsi="仿宋" w:cs="Times New Roman"/>
          <w:sz w:val="28"/>
          <w:szCs w:val="28"/>
        </w:rPr>
      </w:pPr>
      <w:r>
        <w:rPr>
          <w:rFonts w:ascii="仿宋" w:eastAsia="仿宋" w:hAnsi="仿宋" w:cs="仿宋" w:hint="eastAsia"/>
          <w:sz w:val="28"/>
          <w:szCs w:val="28"/>
        </w:rPr>
        <w:t>第二十五条</w:t>
      </w:r>
      <w:r>
        <w:rPr>
          <w:rFonts w:ascii="仿宋" w:eastAsia="仿宋" w:hAnsi="仿宋" w:cs="仿宋"/>
          <w:sz w:val="28"/>
          <w:szCs w:val="28"/>
        </w:rPr>
        <w:t xml:space="preserve"> </w:t>
      </w:r>
      <w:r>
        <w:rPr>
          <w:rFonts w:ascii="仿宋" w:eastAsia="仿宋" w:hAnsi="仿宋" w:cs="仿宋" w:hint="eastAsia"/>
          <w:sz w:val="28"/>
          <w:szCs w:val="28"/>
        </w:rPr>
        <w:t>本办法自发布之日起施行，由中国石油和化学工业联合会负责解释。</w:t>
      </w:r>
    </w:p>
    <w:sectPr w:rsidR="0039423D" w:rsidSect="001779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3D" w:rsidRDefault="0039423D" w:rsidP="00177971">
      <w:pPr>
        <w:rPr>
          <w:rFonts w:cs="Times New Roman"/>
        </w:rPr>
      </w:pPr>
      <w:r>
        <w:rPr>
          <w:rFonts w:cs="Times New Roman"/>
        </w:rPr>
        <w:separator/>
      </w:r>
    </w:p>
  </w:endnote>
  <w:endnote w:type="continuationSeparator" w:id="0">
    <w:p w:rsidR="0039423D" w:rsidRDefault="0039423D" w:rsidP="001779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3D" w:rsidRDefault="0039423D">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9423D" w:rsidRDefault="0039423D">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3D" w:rsidRDefault="0039423D" w:rsidP="00177971">
      <w:pPr>
        <w:rPr>
          <w:rFonts w:cs="Times New Roman"/>
        </w:rPr>
      </w:pPr>
      <w:r>
        <w:rPr>
          <w:rFonts w:cs="Times New Roman"/>
        </w:rPr>
        <w:separator/>
      </w:r>
    </w:p>
  </w:footnote>
  <w:footnote w:type="continuationSeparator" w:id="0">
    <w:p w:rsidR="0039423D" w:rsidRDefault="0039423D" w:rsidP="0017797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03F23"/>
    <w:multiLevelType w:val="singleLevel"/>
    <w:tmpl w:val="A4E03F23"/>
    <w:lvl w:ilvl="0">
      <w:start w:val="1"/>
      <w:numFmt w:val="chineseCounting"/>
      <w:suff w:val="space"/>
      <w:lvlText w:val="第%1章"/>
      <w:lvlJc w:val="left"/>
      <w:rPr>
        <w:rFonts w:hint="eastAsia"/>
      </w:rPr>
    </w:lvl>
  </w:abstractNum>
  <w:abstractNum w:abstractNumId="1">
    <w:nsid w:val="E4DE82F1"/>
    <w:multiLevelType w:val="singleLevel"/>
    <w:tmpl w:val="E4DE82F1"/>
    <w:lvl w:ilvl="0">
      <w:start w:val="1"/>
      <w:numFmt w:val="chineseCounting"/>
      <w:suff w:val="nothing"/>
      <w:lvlText w:val="（%1）"/>
      <w:lvlJc w:val="left"/>
      <w:rPr>
        <w:rFonts w:hint="eastAsia"/>
      </w:rPr>
    </w:lvl>
  </w:abstractNum>
  <w:abstractNum w:abstractNumId="2">
    <w:nsid w:val="01B46A27"/>
    <w:multiLevelType w:val="singleLevel"/>
    <w:tmpl w:val="01B46A27"/>
    <w:lvl w:ilvl="0">
      <w:start w:val="1"/>
      <w:numFmt w:val="chineseCounting"/>
      <w:suff w:val="nothing"/>
      <w:lvlText w:val="（%1）"/>
      <w:lvlJc w:val="left"/>
      <w:rPr>
        <w:rFonts w:hint="eastAsia"/>
      </w:rPr>
    </w:lvl>
  </w:abstractNum>
  <w:abstractNum w:abstractNumId="3">
    <w:nsid w:val="0B78C2D3"/>
    <w:multiLevelType w:val="singleLevel"/>
    <w:tmpl w:val="0B78C2D3"/>
    <w:lvl w:ilvl="0">
      <w:start w:val="1"/>
      <w:numFmt w:val="chineseCounting"/>
      <w:suff w:val="nothing"/>
      <w:lvlText w:val="（%1）"/>
      <w:lvlJc w:val="left"/>
      <w:rPr>
        <w:rFonts w:hint="eastAsia"/>
      </w:rPr>
    </w:lvl>
  </w:abstractNum>
  <w:abstractNum w:abstractNumId="4">
    <w:nsid w:val="46C5CD75"/>
    <w:multiLevelType w:val="singleLevel"/>
    <w:tmpl w:val="46C5CD75"/>
    <w:lvl w:ilvl="0">
      <w:start w:val="1"/>
      <w:numFmt w:val="chineseCounting"/>
      <w:suff w:val="nothing"/>
      <w:lvlText w:val="（%1）"/>
      <w:lvlJc w:val="left"/>
      <w:rPr>
        <w:rFonts w:hint="eastAsia"/>
      </w:rPr>
    </w:lvl>
  </w:abstractNum>
  <w:abstractNum w:abstractNumId="5">
    <w:nsid w:val="47C29FD2"/>
    <w:multiLevelType w:val="singleLevel"/>
    <w:tmpl w:val="47C29FD2"/>
    <w:lvl w:ilvl="0">
      <w:start w:val="10"/>
      <w:numFmt w:val="chineseCounting"/>
      <w:suff w:val="space"/>
      <w:lvlText w:val="第%1条"/>
      <w:lvlJc w:val="left"/>
      <w:rPr>
        <w:rFonts w:hint="eastAsia"/>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4860A9"/>
    <w:rsid w:val="000738F9"/>
    <w:rsid w:val="001138D7"/>
    <w:rsid w:val="00177971"/>
    <w:rsid w:val="002402BA"/>
    <w:rsid w:val="0039423D"/>
    <w:rsid w:val="00CF2118"/>
    <w:rsid w:val="01917BF1"/>
    <w:rsid w:val="02A36876"/>
    <w:rsid w:val="03F534B3"/>
    <w:rsid w:val="064C653F"/>
    <w:rsid w:val="072D4374"/>
    <w:rsid w:val="07B86759"/>
    <w:rsid w:val="091A2103"/>
    <w:rsid w:val="0ABB1568"/>
    <w:rsid w:val="0AEA5667"/>
    <w:rsid w:val="0BF63F98"/>
    <w:rsid w:val="0C022C93"/>
    <w:rsid w:val="0C1F343C"/>
    <w:rsid w:val="0C8D2539"/>
    <w:rsid w:val="0CB03EF0"/>
    <w:rsid w:val="0DD9207B"/>
    <w:rsid w:val="0DE052E0"/>
    <w:rsid w:val="0E336808"/>
    <w:rsid w:val="100C1011"/>
    <w:rsid w:val="108935AD"/>
    <w:rsid w:val="114C6F40"/>
    <w:rsid w:val="11DA1CC5"/>
    <w:rsid w:val="13775DD1"/>
    <w:rsid w:val="143E5FC9"/>
    <w:rsid w:val="152177CC"/>
    <w:rsid w:val="15CA26E0"/>
    <w:rsid w:val="16163667"/>
    <w:rsid w:val="16511AAF"/>
    <w:rsid w:val="189D3573"/>
    <w:rsid w:val="18B12C29"/>
    <w:rsid w:val="190E3A1E"/>
    <w:rsid w:val="1C03564C"/>
    <w:rsid w:val="1D53034E"/>
    <w:rsid w:val="1DE97D5F"/>
    <w:rsid w:val="1F8C4ACD"/>
    <w:rsid w:val="20D9176D"/>
    <w:rsid w:val="226E3881"/>
    <w:rsid w:val="23B424F6"/>
    <w:rsid w:val="2457320A"/>
    <w:rsid w:val="26667B91"/>
    <w:rsid w:val="2806279E"/>
    <w:rsid w:val="283A4DB6"/>
    <w:rsid w:val="28763434"/>
    <w:rsid w:val="287D1181"/>
    <w:rsid w:val="2B605CC7"/>
    <w:rsid w:val="2BA52CD0"/>
    <w:rsid w:val="2E063DC3"/>
    <w:rsid w:val="2E90531F"/>
    <w:rsid w:val="2F377FB8"/>
    <w:rsid w:val="31904E87"/>
    <w:rsid w:val="31A50BC7"/>
    <w:rsid w:val="323B3E5C"/>
    <w:rsid w:val="34003B3D"/>
    <w:rsid w:val="370C3429"/>
    <w:rsid w:val="370F4016"/>
    <w:rsid w:val="38A0501E"/>
    <w:rsid w:val="38CD27C6"/>
    <w:rsid w:val="3998438E"/>
    <w:rsid w:val="39FC7F47"/>
    <w:rsid w:val="3A8E3D4E"/>
    <w:rsid w:val="3C5135FF"/>
    <w:rsid w:val="3E7D1A28"/>
    <w:rsid w:val="3EE24BB7"/>
    <w:rsid w:val="42DB105D"/>
    <w:rsid w:val="48DD7264"/>
    <w:rsid w:val="4AAF5332"/>
    <w:rsid w:val="4ACA4DCF"/>
    <w:rsid w:val="4B0D5B40"/>
    <w:rsid w:val="4B8700F1"/>
    <w:rsid w:val="4D8C50EF"/>
    <w:rsid w:val="4D9F4282"/>
    <w:rsid w:val="4E9856A0"/>
    <w:rsid w:val="51115E24"/>
    <w:rsid w:val="564860A9"/>
    <w:rsid w:val="58AB499E"/>
    <w:rsid w:val="5B8038CB"/>
    <w:rsid w:val="5C1732DE"/>
    <w:rsid w:val="5CB31641"/>
    <w:rsid w:val="5D44725D"/>
    <w:rsid w:val="5E764E52"/>
    <w:rsid w:val="61960449"/>
    <w:rsid w:val="639F0EBF"/>
    <w:rsid w:val="63ED4DFD"/>
    <w:rsid w:val="6443170B"/>
    <w:rsid w:val="647B5509"/>
    <w:rsid w:val="65AC4906"/>
    <w:rsid w:val="65BF2E89"/>
    <w:rsid w:val="67994B08"/>
    <w:rsid w:val="69687A18"/>
    <w:rsid w:val="6BCD34C4"/>
    <w:rsid w:val="6CAE51C8"/>
    <w:rsid w:val="6CFA0524"/>
    <w:rsid w:val="6E8E090A"/>
    <w:rsid w:val="72783F5E"/>
    <w:rsid w:val="728E7236"/>
    <w:rsid w:val="79BB400E"/>
    <w:rsid w:val="7BCD23C4"/>
    <w:rsid w:val="7D391028"/>
    <w:rsid w:val="7D8D146F"/>
    <w:rsid w:val="7E677C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71"/>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79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82076"/>
    <w:rPr>
      <w:rFonts w:ascii="Calibri" w:hAnsi="Calibri" w:cs="Calibri"/>
      <w:sz w:val="18"/>
      <w:szCs w:val="18"/>
    </w:rPr>
  </w:style>
  <w:style w:type="paragraph" w:styleId="Header">
    <w:name w:val="header"/>
    <w:basedOn w:val="Normal"/>
    <w:link w:val="HeaderChar"/>
    <w:uiPriority w:val="99"/>
    <w:rsid w:val="0017797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982076"/>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386</Words>
  <Characters>2202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膜行业专利奖奖励办法（试行）</dc:title>
  <dc:subject/>
  <dc:creator>柳寒</dc:creator>
  <cp:keywords/>
  <dc:description/>
  <cp:lastModifiedBy>Dongyi</cp:lastModifiedBy>
  <cp:revision>2</cp:revision>
  <dcterms:created xsi:type="dcterms:W3CDTF">2019-01-21T03:02:00Z</dcterms:created>
  <dcterms:modified xsi:type="dcterms:W3CDTF">2019-01-21T03:02:00Z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